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F" w:rsidRPr="00D452CF" w:rsidRDefault="00D452CF" w:rsidP="00D4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8"/>
      </w:tblGrid>
      <w:tr w:rsidR="00D452CF" w:rsidRPr="00D452CF" w:rsidTr="00D45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2CF" w:rsidRPr="00D452CF" w:rsidRDefault="00D452CF" w:rsidP="00A600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МІНІСТЕРСТВО ФІНАНСІВ УКРАЇНИ</w:t>
            </w:r>
          </w:p>
          <w:p w:rsidR="00D452CF" w:rsidRPr="00D452CF" w:rsidRDefault="00D452CF" w:rsidP="00A600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НАКАЗ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5"/>
              <w:gridCol w:w="3089"/>
              <w:gridCol w:w="3614"/>
            </w:tblGrid>
            <w:tr w:rsidR="00D452CF" w:rsidRPr="00D452CF" w:rsidTr="00D452CF">
              <w:trPr>
                <w:tblCellSpacing w:w="15" w:type="dxa"/>
              </w:trPr>
              <w:tc>
                <w:tcPr>
                  <w:tcW w:w="1750" w:type="pct"/>
                  <w:vAlign w:val="center"/>
                  <w:hideMark/>
                </w:tcPr>
                <w:p w:rsidR="00D452CF" w:rsidRPr="00D452CF" w:rsidRDefault="00D452CF" w:rsidP="00A60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04.06.2021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D452CF" w:rsidRPr="00D452CF" w:rsidRDefault="00D452CF" w:rsidP="00A60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м.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Киї</w:t>
                  </w:r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750" w:type="pct"/>
                  <w:vAlign w:val="center"/>
                  <w:hideMark/>
                </w:tcPr>
                <w:p w:rsidR="00D452CF" w:rsidRPr="00D452CF" w:rsidRDefault="00D452CF" w:rsidP="00A600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 317</w:t>
                  </w:r>
                </w:p>
              </w:tc>
            </w:tr>
          </w:tbl>
          <w:p w:rsidR="00D452CF" w:rsidRPr="00D452CF" w:rsidRDefault="00D452CF" w:rsidP="00A6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України</w:t>
            </w:r>
            <w:r w:rsidRPr="00D45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04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серпня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 за N 1014/36636</w:t>
            </w:r>
          </w:p>
          <w:p w:rsidR="00D452CF" w:rsidRPr="00D452CF" w:rsidRDefault="00D452CF" w:rsidP="00A600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затвердження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Змін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форми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Податкової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декларації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податку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на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прибуток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ідприємств</w:t>
            </w:r>
            <w:proofErr w:type="spellEnd"/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A600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пункту 46.6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статті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46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глави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розділу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II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Податкового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кодексу України</w:t>
              </w:r>
            </w:hyperlink>
            <w:r w:rsidR="00A600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пункту 4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України,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"http://search.ligazakon.ua/l_doc2.nsf/link1/KP140375.html" </w:instrTex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постановою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Кабінету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Міністрів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України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від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20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серпня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2014 року N 375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НАКАЗУЮ: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Затвердити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наказом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Міністерства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фінансів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України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жовтня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2015 року N 897</w:t>
              </w:r>
            </w:hyperlink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11 листопада 2015 року за N 1415/27860 (у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наказу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Міністерства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фінансів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України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28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квітня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2017 року N 467</w:t>
              </w:r>
            </w:hyperlink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додаються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Департаменту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наказу на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України;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наказу.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Цей наказ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набирає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Контроль за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залишаю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собою та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покладаю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Голову</w:t>
            </w:r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України.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59"/>
              <w:gridCol w:w="5159"/>
            </w:tblGrid>
            <w:tr w:rsidR="00D452CF" w:rsidRPr="00D452CF" w:rsidTr="00D452C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Міні</w:t>
                  </w:r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</w:t>
                  </w:r>
                  <w:proofErr w:type="spellEnd"/>
                  <w:proofErr w:type="gramEnd"/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Сергій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МАРЧЕНКО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ПОГОДЖЕНО: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В. о.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ержавної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податкової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служби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України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Євген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ОЛЕЙНІКОВ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Перший заступник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Міністра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цифрової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трансформації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України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Олексій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ВИСКУБ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Голова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Національної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комісії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цінних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паперів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фондового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ринку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Руслан МАГОМЕДОВ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В. о.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Голови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Національного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банку України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Юрій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ГЕЛЕТІЙ</w:t>
                  </w:r>
                </w:p>
              </w:tc>
            </w:tr>
          </w:tbl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2CF" w:rsidRDefault="00D452CF" w:rsidP="00D452CF">
            <w:pPr>
              <w:spacing w:after="0" w:line="240" w:lineRule="auto"/>
              <w:ind w:left="694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ЗАТВЕРДЖЕНО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фінансі</w:t>
            </w:r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2CF" w:rsidRPr="00D452CF" w:rsidRDefault="00D452CF" w:rsidP="00D452CF">
            <w:pPr>
              <w:spacing w:after="0" w:line="240" w:lineRule="auto"/>
              <w:ind w:left="6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04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 N 317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Зміни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 xml:space="preserve">до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fldChar w:fldCharType="begin"/>
            </w:r>
            <w:r w:rsidRPr="00D452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instrText xml:space="preserve"> HYPERLINK "http://search.ligazakon.ua/l_doc2.nsf/link1/RE27860.html" </w:instrText>
            </w:r>
            <w:r w:rsidRPr="00D452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fldChar w:fldCharType="separate"/>
            </w:r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>Податкової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>декларації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>з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>податку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 xml:space="preserve"> на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>прибуток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>п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ru-RU"/>
              </w:rPr>
              <w:t>ідприємств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fldChar w:fldCharType="end"/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рядка 7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рядком 7.1 такого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8"/>
              <w:gridCol w:w="4504"/>
              <w:gridCol w:w="2622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43"/>
            </w:tblGrid>
            <w:tr w:rsidR="00D452CF" w:rsidRPr="00D452CF" w:rsidTr="00D452CF">
              <w:trPr>
                <w:tblCellSpacing w:w="15" w:type="dxa"/>
              </w:trPr>
              <w:tc>
                <w:tcPr>
                  <w:tcW w:w="300" w:type="pct"/>
                  <w:vMerge w:val="restart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</w:t>
                  </w:r>
                </w:p>
              </w:tc>
              <w:tc>
                <w:tcPr>
                  <w:tcW w:w="2200" w:type="pct"/>
                  <w:vMerge w:val="restart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Повне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найменування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представництва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відокремленого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ідрозділу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через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який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нерезидент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здійснює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діяльність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</w:t>
                  </w:r>
                </w:p>
              </w:tc>
              <w:tc>
                <w:tcPr>
                  <w:tcW w:w="1300" w:type="pct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ЄДРПОУ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представництва</w:t>
                  </w:r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:rsidR="00D452CF" w:rsidRPr="00D452CF" w:rsidRDefault="00D452CF" w:rsidP="00D45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D452CF" w:rsidRPr="00D452CF" w:rsidRDefault="00D452CF" w:rsidP="00D45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pct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Ідентифікатор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оподаткування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(за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відсутності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коду ЄДРПОУ)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:rsidR="00D452CF" w:rsidRPr="00D452CF" w:rsidRDefault="00D452CF" w:rsidP="00D45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0" w:type="pct"/>
                  <w:gridSpan w:val="10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Місцезнаходження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представництва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відокремленого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ідрозділу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нерезидента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________________________________________________________________________________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________________________________________________________________________________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452CF" w:rsidRPr="00D452CF" w:rsidRDefault="00D452CF" w:rsidP="00D45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0" w:type="pct"/>
                  <w:gridSpan w:val="10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Найменування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контролюючого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органу за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представництва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відокремленого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підрозділу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нерезидента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________________________________________________________________________________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________________________________________________________________________________</w:t>
                  </w:r>
                </w:p>
              </w:tc>
            </w:tr>
          </w:tbl>
          <w:p w:rsidR="00D452CF" w:rsidRPr="00D452CF" w:rsidRDefault="00D452CF" w:rsidP="00D452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виноски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"1"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новою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виноскою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"2"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такого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нерезидентом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через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представництво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за ЄДРПОУ такого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представництва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нерезидентом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неакредитований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відокремлений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поданим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контролюючого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пункту 63.3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статті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63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Податкового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кодексу України.</w:t>
              </w:r>
            </w:hyperlink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"2"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"17"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"3"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"18"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додатках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рядка 23 ПН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позицію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Відмітка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особи"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викласти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такій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Відмітка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позицією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441"/>
              <w:gridCol w:w="338"/>
              <w:gridCol w:w="338"/>
              <w:gridCol w:w="338"/>
              <w:gridCol w:w="439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237"/>
              <w:gridCol w:w="338"/>
              <w:gridCol w:w="3349"/>
              <w:gridCol w:w="588"/>
              <w:gridCol w:w="588"/>
              <w:gridCol w:w="694"/>
            </w:tblGrid>
            <w:tr w:rsidR="00D452CF" w:rsidRPr="00D452CF" w:rsidTr="00D452CF">
              <w:trPr>
                <w:tblCellSpacing w:w="15" w:type="dxa"/>
              </w:trPr>
              <w:tc>
                <w:tcPr>
                  <w:tcW w:w="2250" w:type="pct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Повне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найменування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нерезидента,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який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бенефіціаром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фактичним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отримувачем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власником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доходу</w:t>
                  </w:r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4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______________________________________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</w:t>
                  </w:r>
                </w:p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Місцезнаходження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нерезидента,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який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бенефіціаром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фактичним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отримувачем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власником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доходу</w:t>
                  </w:r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4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____________________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</w:t>
                  </w:r>
                </w:p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нерезидента в </w:t>
                  </w:r>
                  <w:proofErr w:type="spellStart"/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країн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резиденції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75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країни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резиденції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нерезидента,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який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бенефіціаром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фактичним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отримувачем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власником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доходу</w:t>
                  </w:r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________________________________________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0" w:type="auto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країни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резиденції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Відмітка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наявність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офшорного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статусу</w:t>
                  </w:r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3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21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Відмітка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відсутність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статусу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юридичної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особи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52CF" w:rsidRPr="00D452CF" w:rsidRDefault="00D452CF" w:rsidP="00D452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новою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"3, 4"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такого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нерезидент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статусу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контракту/договору,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нерезидента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нерезидента,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бенефіціаром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отримувачем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доходу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України, 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A600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8" w:history="1"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статті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103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глави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розділу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II </w:t>
              </w:r>
              <w:proofErr w:type="spellStart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Податкового</w:t>
              </w:r>
              <w:proofErr w:type="spellEnd"/>
              <w:r w:rsidRPr="00D45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кодексу України</w:t>
              </w:r>
            </w:hyperlink>
            <w:r w:rsidR="00A600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України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країною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резидентом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бенефіціарний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такого доходу.".</w:t>
            </w:r>
            <w:proofErr w:type="gramEnd"/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"3"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"6"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"5"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"8"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до рядка 03 РІ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</w:t>
            </w:r>
            <w:proofErr w:type="spellStart"/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ізниці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виникають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"http://search.ligazakon.ua/l_doc2.nsf/link1/T10_2755.html" </w:instrTex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стаття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140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розділу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III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Податкового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кодексу України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 рядок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0"/>
              <w:gridCol w:w="4428"/>
              <w:gridCol w:w="692"/>
              <w:gridCol w:w="793"/>
              <w:gridCol w:w="3116"/>
              <w:gridCol w:w="269"/>
            </w:tblGrid>
            <w:tr w:rsidR="00D452CF" w:rsidRPr="00D452CF" w:rsidTr="00D452CF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3.1.14</w:t>
                  </w:r>
                </w:p>
              </w:tc>
              <w:tc>
                <w:tcPr>
                  <w:tcW w:w="22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витрат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понесених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платником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податків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здійсненні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операцій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нерезидентами,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операції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мають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ділової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мети (</w:t>
                  </w:r>
                  <w:proofErr w:type="spellStart"/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ідпункт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140.5.15 </w:t>
                  </w:r>
                  <w:hyperlink r:id="rId9" w:history="1"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пункту 140.5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статті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140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розділу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III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Податкового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кодексу України</w:t>
                    </w:r>
                  </w:hyperlink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55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</w:tbl>
          <w:p w:rsidR="00D452CF" w:rsidRPr="00D452CF" w:rsidRDefault="00D452CF" w:rsidP="00D452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замінити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рядком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6"/>
              <w:gridCol w:w="3566"/>
              <w:gridCol w:w="737"/>
              <w:gridCol w:w="939"/>
              <w:gridCol w:w="3364"/>
              <w:gridCol w:w="651"/>
            </w:tblGrid>
            <w:tr w:rsidR="00D452CF" w:rsidRPr="00D452CF" w:rsidTr="00D452CF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3.1.14</w:t>
                  </w:r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витрат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пов'язаних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виконанням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умов договору про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надання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бюджетного гранту,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понесених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поточному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звітному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періоді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рахунок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таких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грантів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більше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суми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таких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грантів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та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включених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складу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витрат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поточного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звітного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періоду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положень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бухгалтерського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міжнародних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фінансової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звітності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"http://search.ligazakon.ua/l_doc2.nsf/link1/T10_2755.html" </w:instrTex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ідпункт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140.5.16 пункту 140.5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статті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140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розділу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III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Податкового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кодексу України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3.2.6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грантів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отриманих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платником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податку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включених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складу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звітного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періоду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положень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бухгалтерського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міжнародних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фінансової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звітності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"http://search.ligazakon.ua/l_doc2.nsf/link1/T10_2755.html" </w:instrTex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підпункт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140.4.8 пункту 140.4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статті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140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розділу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III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Податкового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кодексу України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452CF" w:rsidRPr="00D452CF" w:rsidRDefault="00D452CF" w:rsidP="00D452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Різниці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України"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"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різниці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"http://search.ligazakon.ua/l_doc2.nsf/link1/T10_2755.html" </w:instrTex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стаття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141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розділу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III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"http://search.ligazakon.ua/l_doc2.nsf/link1/T10_2755.html" </w:instrTex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стаття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39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розділу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I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"http://search.ligazakon.ua/l_doc2.nsf/link1/T10_2755.html" </w:instrTex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стаття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123</w:t>
            </w:r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глави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11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розділу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II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"http://search.ligazakon.ua/l_doc2.nsf/link1/T10_2755.html" </w:instrTex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підрозділ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4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розділу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XX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Податкового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кодексу України</w:t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)"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новими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рядками такого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6"/>
              <w:gridCol w:w="3667"/>
              <w:gridCol w:w="737"/>
              <w:gridCol w:w="939"/>
              <w:gridCol w:w="3162"/>
              <w:gridCol w:w="752"/>
            </w:tblGrid>
            <w:tr w:rsidR="00D452CF" w:rsidRPr="00D452CF" w:rsidTr="00D452CF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4.2.22</w:t>
                  </w:r>
                </w:p>
              </w:tc>
              <w:tc>
                <w:tcPr>
                  <w:tcW w:w="1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отриманої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одноразової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компенсації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суб'єктам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господарювання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 </w:t>
                  </w:r>
                  <w:hyperlink r:id="rId10" w:history="1"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Закону України "Про </w:t>
                    </w:r>
                    <w:proofErr w:type="spellStart"/>
                    <w:proofErr w:type="gram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соц</w:t>
                    </w:r>
                    <w:proofErr w:type="gram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іальну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підтримку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застрахованих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осіб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суб'єктів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господарювання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на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період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здійснення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обмежувальних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протиепідемічних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заходів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запроваджених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метою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запобігання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поширенню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на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території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України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гострої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респіраторної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хвороби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COVID-19,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спричиненої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коронавірусом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SARS-CoV-2"</w:t>
                    </w:r>
                  </w:hyperlink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та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включеної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складу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звітного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періоду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положень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бухгалтерського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міжнародних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фінансової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звітності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1" w:history="1"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пункт 54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підрозділу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4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розділу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XX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Податкового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кодексу України</w:t>
                    </w:r>
                  </w:hyperlink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52CF" w:rsidRPr="00D452CF" w:rsidTr="00D452CF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4.2.23</w:t>
                  </w:r>
                </w:p>
              </w:tc>
              <w:tc>
                <w:tcPr>
                  <w:tcW w:w="1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списаних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штрафних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санкцій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 </w:t>
                  </w:r>
                  <w:hyperlink r:id="rId12" w:history="1"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пункту 2</w:t>
                    </w:r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ru-RU"/>
                      </w:rPr>
                      <w:t>3</w:t>
                    </w:r>
                  </w:hyperlink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та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списаного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податкового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боргу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 </w:t>
                  </w:r>
                  <w:hyperlink r:id="rId13" w:history="1"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пункту 2</w:t>
                    </w:r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ru-RU"/>
                      </w:rPr>
                      <w:t>4</w:t>
                    </w:r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  <w:proofErr w:type="spellStart"/>
                    <w:proofErr w:type="gram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</w:t>
                    </w:r>
                    <w:proofErr w:type="gram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ідрозділу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10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розділу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XX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Податкового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кодексу України</w:t>
                    </w:r>
                  </w:hyperlink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та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включених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складу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звітного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періоду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положень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бухгалтерського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обліку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міжнародних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фінансової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звітності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4" w:history="1"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пункт 54 </w:t>
                    </w:r>
                    <w:proofErr w:type="spellStart"/>
                    <w:proofErr w:type="gram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</w:t>
                    </w:r>
                    <w:proofErr w:type="gram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ідрозділу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4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розділу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XX </w:t>
                    </w:r>
                    <w:proofErr w:type="spellStart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Податкового</w:t>
                    </w:r>
                    <w:proofErr w:type="spellEnd"/>
                    <w:r w:rsidRPr="00D452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кодексу України</w:t>
                    </w:r>
                  </w:hyperlink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D452CF" w:rsidRPr="00D452CF" w:rsidRDefault="00D452CF" w:rsidP="00D452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";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 до рядка 1.2.1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додатка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до рядка 03 РІ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рядка за кодом А17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доповнити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новим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рядком такого </w:t>
            </w:r>
            <w:proofErr w:type="spellStart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"/>
              <w:gridCol w:w="2967"/>
              <w:gridCol w:w="1954"/>
              <w:gridCol w:w="1752"/>
              <w:gridCol w:w="2780"/>
            </w:tblGrid>
            <w:tr w:rsidR="00D452CF" w:rsidRPr="00D452CF" w:rsidTr="00D452CF">
              <w:trPr>
                <w:tblCellSpacing w:w="15" w:type="dxa"/>
              </w:trPr>
              <w:tc>
                <w:tcPr>
                  <w:tcW w:w="40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Капіталізовані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проценти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включені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собівартості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необоротних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активів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"http://search.ligazakon.ua/l_doc2.nsf/link1/T10_2755.html" </w:instrTex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proofErr w:type="gramStart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</w:t>
                  </w:r>
                  <w:proofErr w:type="gram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ідпункт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138.3.2 пункту 138.3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статті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138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розділу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III </w:t>
                  </w:r>
                  <w:proofErr w:type="spellStart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Податкового</w:t>
                  </w:r>
                  <w:proofErr w:type="spellEnd"/>
                  <w:r w:rsidRPr="00D452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кодексу України</w:t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D452CF" w:rsidRPr="00D452CF" w:rsidRDefault="00D452CF" w:rsidP="00D452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2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452CF" w:rsidRPr="00D452CF" w:rsidRDefault="00D452CF" w:rsidP="00A600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D452CF" w:rsidRPr="00D452CF" w:rsidRDefault="00D452CF" w:rsidP="00D4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051" w:rsidRPr="00A600E6" w:rsidRDefault="00A600E6" w:rsidP="00A600E6">
      <w:pPr>
        <w:spacing w:after="0" w:line="240" w:lineRule="auto"/>
        <w:rPr>
          <w:b/>
          <w:lang w:val="uk-UA"/>
        </w:rPr>
      </w:pPr>
      <w:r w:rsidRPr="00A600E6">
        <w:rPr>
          <w:b/>
          <w:lang w:val="uk-UA"/>
        </w:rPr>
        <w:lastRenderedPageBreak/>
        <w:t xml:space="preserve">Директор Департаменту </w:t>
      </w:r>
    </w:p>
    <w:p w:rsidR="00A600E6" w:rsidRPr="00A600E6" w:rsidRDefault="00A600E6" w:rsidP="00A600E6">
      <w:pPr>
        <w:spacing w:after="0" w:line="240" w:lineRule="auto"/>
        <w:rPr>
          <w:b/>
          <w:lang w:val="uk-UA"/>
        </w:rPr>
      </w:pPr>
      <w:r w:rsidRPr="00A600E6">
        <w:rPr>
          <w:b/>
          <w:lang w:val="uk-UA"/>
        </w:rPr>
        <w:t>податкової політики</w:t>
      </w:r>
      <w:r w:rsidRPr="00A600E6">
        <w:rPr>
          <w:b/>
          <w:lang w:val="uk-UA"/>
        </w:rPr>
        <w:tab/>
      </w:r>
      <w:r w:rsidRPr="00A600E6">
        <w:rPr>
          <w:b/>
          <w:lang w:val="uk-UA"/>
        </w:rPr>
        <w:tab/>
      </w:r>
      <w:r w:rsidRPr="00A600E6">
        <w:rPr>
          <w:b/>
          <w:lang w:val="uk-UA"/>
        </w:rPr>
        <w:tab/>
      </w:r>
      <w:r w:rsidRPr="00A600E6">
        <w:rPr>
          <w:b/>
          <w:lang w:val="uk-UA"/>
        </w:rPr>
        <w:tab/>
      </w:r>
      <w:r w:rsidRPr="00A600E6">
        <w:rPr>
          <w:b/>
          <w:lang w:val="uk-UA"/>
        </w:rPr>
        <w:tab/>
      </w:r>
      <w:r w:rsidRPr="00A600E6">
        <w:rPr>
          <w:b/>
          <w:lang w:val="uk-UA"/>
        </w:rPr>
        <w:tab/>
      </w:r>
      <w:r w:rsidRPr="00A600E6">
        <w:rPr>
          <w:b/>
          <w:lang w:val="uk-UA"/>
        </w:rPr>
        <w:tab/>
      </w:r>
      <w:r>
        <w:rPr>
          <w:b/>
          <w:lang w:val="uk-UA"/>
        </w:rPr>
        <w:tab/>
      </w:r>
      <w:r w:rsidRPr="00A600E6">
        <w:rPr>
          <w:b/>
          <w:lang w:val="uk-UA"/>
        </w:rPr>
        <w:t>Лариса МАКСИМЕНКО</w:t>
      </w:r>
    </w:p>
    <w:sectPr w:rsidR="00A600E6" w:rsidRPr="00A600E6" w:rsidSect="00D452CF"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2CF"/>
    <w:rsid w:val="00722DFF"/>
    <w:rsid w:val="00A600E6"/>
    <w:rsid w:val="00D452CF"/>
    <w:rsid w:val="00D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51"/>
  </w:style>
  <w:style w:type="paragraph" w:styleId="1">
    <w:name w:val="heading 1"/>
    <w:basedOn w:val="a"/>
    <w:link w:val="10"/>
    <w:uiPriority w:val="9"/>
    <w:qFormat/>
    <w:rsid w:val="00D45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5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2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0_2755.html" TargetMode="External"/><Relationship Id="rId13" Type="http://schemas.openxmlformats.org/officeDocument/2006/relationships/hyperlink" Target="http://search.ligazakon.ua/l_doc2.nsf/link1/T10_275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0_2755.html" TargetMode="External"/><Relationship Id="rId12" Type="http://schemas.openxmlformats.org/officeDocument/2006/relationships/hyperlink" Target="http://search.ligazakon.ua/l_doc2.nsf/link1/T10_2755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0510.html" TargetMode="External"/><Relationship Id="rId11" Type="http://schemas.openxmlformats.org/officeDocument/2006/relationships/hyperlink" Target="http://search.ligazakon.ua/l_doc2.nsf/link1/T10_2755.html" TargetMode="External"/><Relationship Id="rId5" Type="http://schemas.openxmlformats.org/officeDocument/2006/relationships/hyperlink" Target="http://search.ligazakon.ua/l_doc2.nsf/link1/RE2786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T201071.html" TargetMode="External"/><Relationship Id="rId4" Type="http://schemas.openxmlformats.org/officeDocument/2006/relationships/hyperlink" Target="http://search.ligazakon.ua/l_doc2.nsf/link1/T10_2755.html" TargetMode="External"/><Relationship Id="rId9" Type="http://schemas.openxmlformats.org/officeDocument/2006/relationships/hyperlink" Target="http://search.ligazakon.ua/l_doc2.nsf/link1/T10_2755.html" TargetMode="External"/><Relationship Id="rId14" Type="http://schemas.openxmlformats.org/officeDocument/2006/relationships/hyperlink" Target="http://search.ligazakon.ua/l_doc2.nsf/link1/T10_27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D01-TARUSINA</dc:creator>
  <cp:keywords/>
  <dc:description/>
  <cp:lastModifiedBy>D01-TARUSINA</cp:lastModifiedBy>
  <cp:revision>1</cp:revision>
  <dcterms:created xsi:type="dcterms:W3CDTF">2021-08-10T08:07:00Z</dcterms:created>
  <dcterms:modified xsi:type="dcterms:W3CDTF">2021-08-10T08:22:00Z</dcterms:modified>
</cp:coreProperties>
</file>